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utoSpaceDE w:val="0"/>
        <w:autoSpaceDN w:val="0"/>
        <w:adjustRightInd w:val="0"/>
        <w:jc w:val="left"/>
        <w:rPr>
          <w:rFonts w:hint="default" w:ascii="Times New Roman" w:hAnsi="Times New Roman" w:eastAsia="Times New Roman" w:cs="Times New Roman"/>
          <w:b/>
          <w:kern w:val="0"/>
          <w:sz w:val="21"/>
          <w:highlight w:val="yellow"/>
          <w:lang w:val="en-US"/>
        </w:rPr>
      </w:pPr>
      <w:r>
        <w:rPr>
          <w:rFonts w:hint="default" w:ascii="Times New Roman" w:hAnsi="Times New Roman" w:cs="Times New Roman"/>
          <w:b/>
          <w:kern w:val="0"/>
          <w:sz w:val="21"/>
        </w:rPr>
        <w:t>证券代码：000969</w:t>
      </w:r>
      <w:r>
        <w:rPr>
          <w:rFonts w:hint="default" w:ascii="Times New Roman" w:hAnsi="Times New Roman" w:eastAsia="Times New Roman" w:cs="Times New Roman"/>
          <w:b/>
          <w:kern w:val="0"/>
          <w:sz w:val="21"/>
        </w:rPr>
        <w:t xml:space="preserve"> </w:t>
      </w:r>
      <w:r>
        <w:rPr>
          <w:rFonts w:hint="default" w:ascii="Times New Roman" w:hAnsi="Times New Roman" w:cs="Times New Roman"/>
          <w:b/>
          <w:kern w:val="0"/>
          <w:sz w:val="21"/>
          <w:lang w:val="en-US" w:eastAsia="zh-CN"/>
        </w:rPr>
        <w:t xml:space="preserve">            </w:t>
      </w:r>
      <w:r>
        <w:rPr>
          <w:rFonts w:hint="default" w:ascii="Times New Roman" w:hAnsi="Times New Roman" w:cs="Times New Roman"/>
          <w:b/>
          <w:kern w:val="0"/>
          <w:sz w:val="21"/>
        </w:rPr>
        <w:t xml:space="preserve">证券简称：安泰科技    </w:t>
      </w:r>
      <w:r>
        <w:rPr>
          <w:rFonts w:hint="default" w:ascii="Times New Roman" w:hAnsi="Times New Roman" w:cs="Times New Roman"/>
          <w:b/>
          <w:kern w:val="0"/>
          <w:sz w:val="21"/>
          <w:lang w:val="en-US" w:eastAsia="zh-CN"/>
        </w:rPr>
        <w:t xml:space="preserve">     </w:t>
      </w:r>
      <w:r>
        <w:rPr>
          <w:rFonts w:hint="default" w:ascii="Times New Roman" w:hAnsi="Times New Roman" w:cs="Times New Roman"/>
          <w:b/>
          <w:kern w:val="0"/>
          <w:sz w:val="21"/>
          <w:highlight w:val="none"/>
          <w:lang w:val="en-US" w:eastAsia="zh-CN"/>
        </w:rPr>
        <w:t xml:space="preserve">   </w:t>
      </w:r>
      <w:r>
        <w:rPr>
          <w:rFonts w:hint="default" w:ascii="Times New Roman" w:hAnsi="Times New Roman" w:eastAsia="Times New Roman" w:cs="Times New Roman"/>
          <w:b/>
          <w:kern w:val="0"/>
          <w:sz w:val="21"/>
          <w:highlight w:val="none"/>
        </w:rPr>
        <w:t xml:space="preserve"> </w:t>
      </w:r>
      <w:r>
        <w:rPr>
          <w:rFonts w:hint="default" w:ascii="Times New Roman" w:hAnsi="Times New Roman" w:cs="Times New Roman"/>
          <w:b/>
          <w:kern w:val="0"/>
          <w:sz w:val="21"/>
          <w:highlight w:val="none"/>
        </w:rPr>
        <w:t>公告编号：201</w:t>
      </w:r>
      <w:r>
        <w:rPr>
          <w:rFonts w:hint="eastAsia" w:cs="Times New Roman"/>
          <w:b/>
          <w:kern w:val="0"/>
          <w:sz w:val="21"/>
          <w:highlight w:val="none"/>
          <w:lang w:val="en-US" w:eastAsia="zh-CN"/>
        </w:rPr>
        <w:t>8</w:t>
      </w:r>
      <w:r>
        <w:rPr>
          <w:rFonts w:hint="default" w:ascii="Times New Roman" w:hAnsi="Times New Roman" w:eastAsia="Times New Roman" w:cs="Times New Roman"/>
          <w:b/>
          <w:kern w:val="0"/>
          <w:sz w:val="21"/>
          <w:highlight w:val="none"/>
        </w:rPr>
        <w:t>-</w:t>
      </w:r>
      <w:r>
        <w:rPr>
          <w:rFonts w:hint="eastAsia" w:cs="Times New Roman"/>
          <w:b/>
          <w:kern w:val="0"/>
          <w:sz w:val="21"/>
          <w:highlight w:val="none"/>
          <w:lang w:val="en-US" w:eastAsia="zh-CN"/>
        </w:rPr>
        <w:t>016</w:t>
      </w:r>
    </w:p>
    <w:p>
      <w:pPr>
        <w:autoSpaceDE w:val="0"/>
        <w:autoSpaceDN w:val="0"/>
        <w:adjustRightInd w:val="0"/>
        <w:spacing w:line="480" w:lineRule="auto"/>
        <w:jc w:val="center"/>
        <w:rPr>
          <w:rFonts w:hint="default" w:ascii="Times New Roman" w:hAnsi="Times New Roman" w:eastAsia="Times New Roman" w:cs="Times New Roman"/>
          <w:kern w:val="0"/>
          <w:sz w:val="30"/>
        </w:rPr>
      </w:pPr>
    </w:p>
    <w:p>
      <w:pPr>
        <w:spacing w:line="360" w:lineRule="auto"/>
        <w:jc w:val="center"/>
        <w:rPr>
          <w:rFonts w:hint="default" w:ascii="Times New Roman" w:hAnsi="Times New Roman" w:eastAsia="黑体" w:cs="Times New Roman"/>
          <w:b/>
          <w:sz w:val="32"/>
        </w:rPr>
      </w:pPr>
      <w:r>
        <w:rPr>
          <w:rFonts w:hint="default" w:ascii="Times New Roman" w:hAnsi="Times New Roman" w:eastAsia="黑体" w:cs="Times New Roman"/>
          <w:b/>
          <w:sz w:val="32"/>
        </w:rPr>
        <w:t>安泰科技股份有限公司</w:t>
      </w:r>
      <w:bookmarkStart w:id="0" w:name="OLE_LINK1"/>
      <w:bookmarkStart w:id="1" w:name="OLE_LINK2"/>
    </w:p>
    <w:p>
      <w:pPr>
        <w:spacing w:line="360" w:lineRule="auto"/>
        <w:jc w:val="center"/>
        <w:rPr>
          <w:rFonts w:hint="default" w:ascii="Times New Roman" w:hAnsi="Times New Roman" w:eastAsia="黑体" w:cs="Times New Roman"/>
          <w:b/>
          <w:sz w:val="32"/>
        </w:rPr>
      </w:pPr>
      <w:r>
        <w:rPr>
          <w:rFonts w:hint="default" w:ascii="Times New Roman" w:hAnsi="Times New Roman" w:eastAsia="黑体" w:cs="Times New Roman"/>
          <w:b/>
          <w:sz w:val="32"/>
        </w:rPr>
        <w:t>关于201</w:t>
      </w:r>
      <w:r>
        <w:rPr>
          <w:rFonts w:hint="eastAsia" w:eastAsia="黑体" w:cs="Times New Roman"/>
          <w:b/>
          <w:sz w:val="32"/>
          <w:lang w:val="en-US" w:eastAsia="zh-CN"/>
        </w:rPr>
        <w:t>7</w:t>
      </w:r>
      <w:r>
        <w:rPr>
          <w:rFonts w:hint="default" w:ascii="Times New Roman" w:hAnsi="Times New Roman" w:eastAsia="黑体" w:cs="Times New Roman"/>
          <w:b/>
          <w:sz w:val="32"/>
        </w:rPr>
        <w:t>年度计提资产减值准备的公告</w:t>
      </w:r>
    </w:p>
    <w:bookmarkEnd w:id="0"/>
    <w:bookmarkEnd w:id="1"/>
    <w:p>
      <w:pPr>
        <w:ind w:firstLine="422" w:firstLineChars="200"/>
        <w:rPr>
          <w:rFonts w:hint="default" w:ascii="Times New Roman" w:hAnsi="Times New Roman" w:cs="Times New Roman"/>
          <w:b/>
          <w:bCs/>
          <w:szCs w:val="21"/>
        </w:rPr>
      </w:pPr>
    </w:p>
    <w:p>
      <w:pPr>
        <w:ind w:firstLine="422" w:firstLineChars="200"/>
        <w:rPr>
          <w:rFonts w:hint="default" w:ascii="Times New Roman" w:hAnsi="Times New Roman" w:cs="Times New Roman"/>
          <w:b/>
          <w:bCs/>
          <w:szCs w:val="21"/>
        </w:rPr>
      </w:pPr>
      <w:r>
        <w:rPr>
          <w:rFonts w:hint="default" w:ascii="Times New Roman" w:hAnsi="Times New Roman" w:cs="Times New Roman"/>
          <w:b/>
          <w:bCs/>
          <w:szCs w:val="21"/>
        </w:rPr>
        <w:t>本公司及董事会全体成员保证信息披露的内容真实、准确、完整，没有虚假记载、误导性陈述或重大遗漏。</w:t>
      </w:r>
    </w:p>
    <w:p>
      <w:pPr>
        <w:autoSpaceDE w:val="0"/>
        <w:autoSpaceDN w:val="0"/>
        <w:adjustRightInd w:val="0"/>
        <w:spacing w:line="600" w:lineRule="auto"/>
        <w:jc w:val="left"/>
        <w:rPr>
          <w:rFonts w:hint="default" w:ascii="Times New Roman" w:hAnsi="Times New Roman" w:eastAsia="Times New Roman" w:cs="Times New Roman"/>
          <w:kern w:val="0"/>
          <w:sz w:val="24"/>
        </w:rPr>
      </w:pPr>
    </w:p>
    <w:p>
      <w:pPr>
        <w:pStyle w:val="9"/>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释义：</w:t>
      </w:r>
    </w:p>
    <w:p>
      <w:pPr>
        <w:pStyle w:val="9"/>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除非另有说明，以下简称在本公告中含义如下：</w:t>
      </w:r>
    </w:p>
    <w:p>
      <w:pPr>
        <w:pStyle w:val="9"/>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安泰科技、公司、本公司：安泰科技股份有限公司</w:t>
      </w:r>
    </w:p>
    <w:p>
      <w:pPr>
        <w:spacing w:line="360" w:lineRule="auto"/>
        <w:ind w:firstLine="480"/>
        <w:rPr>
          <w:rFonts w:hint="default" w:ascii="Times New Roman" w:hAnsi="Times New Roman" w:cs="Times New Roman"/>
          <w:sz w:val="24"/>
        </w:rPr>
      </w:pPr>
    </w:p>
    <w:p>
      <w:pPr>
        <w:spacing w:line="360" w:lineRule="auto"/>
        <w:ind w:firstLine="480"/>
        <w:rPr>
          <w:rFonts w:hint="default" w:ascii="Times New Roman" w:hAnsi="Times New Roman" w:cs="Times New Roman"/>
          <w:sz w:val="24"/>
        </w:rPr>
      </w:pPr>
      <w:r>
        <w:rPr>
          <w:rFonts w:hint="default" w:ascii="Times New Roman" w:hAnsi="Times New Roman" w:cs="Times New Roman"/>
          <w:sz w:val="24"/>
          <w:lang w:val="en-US" w:eastAsia="zh-CN"/>
        </w:rPr>
        <w:t>公司</w:t>
      </w:r>
      <w:r>
        <w:rPr>
          <w:rFonts w:hint="default" w:ascii="Times New Roman" w:hAnsi="Times New Roman" w:cs="Times New Roman"/>
          <w:sz w:val="24"/>
        </w:rPr>
        <w:t>第</w:t>
      </w:r>
      <w:r>
        <w:rPr>
          <w:rFonts w:hint="eastAsia" w:cs="Times New Roman"/>
          <w:sz w:val="24"/>
          <w:lang w:val="en-US" w:eastAsia="zh-CN"/>
        </w:rPr>
        <w:t>七</w:t>
      </w:r>
      <w:r>
        <w:rPr>
          <w:rFonts w:hint="default" w:ascii="Times New Roman" w:hAnsi="Times New Roman" w:cs="Times New Roman"/>
          <w:sz w:val="24"/>
        </w:rPr>
        <w:t>届董事会第</w:t>
      </w:r>
      <w:r>
        <w:rPr>
          <w:rFonts w:hint="default" w:ascii="Times New Roman" w:hAnsi="Times New Roman" w:cs="Times New Roman"/>
          <w:sz w:val="24"/>
          <w:lang w:val="en-US" w:eastAsia="zh-CN"/>
        </w:rPr>
        <w:t>二</w:t>
      </w:r>
      <w:r>
        <w:rPr>
          <w:rFonts w:hint="default" w:ascii="Times New Roman" w:hAnsi="Times New Roman" w:cs="Times New Roman"/>
          <w:sz w:val="24"/>
        </w:rPr>
        <w:t>次会议审议通过《安泰科技关于201</w:t>
      </w:r>
      <w:r>
        <w:rPr>
          <w:rFonts w:hint="eastAsia" w:cs="Times New Roman"/>
          <w:sz w:val="24"/>
          <w:lang w:val="en-US" w:eastAsia="zh-CN"/>
        </w:rPr>
        <w:t>7</w:t>
      </w:r>
      <w:r>
        <w:rPr>
          <w:rFonts w:hint="default" w:ascii="Times New Roman" w:hAnsi="Times New Roman" w:cs="Times New Roman"/>
          <w:sz w:val="24"/>
        </w:rPr>
        <w:t>年度计提资产减值准备的议案》。根据中国证监会《关于进一步提高上市公司财务信息披露质量的通知》、《深圳证券交易所股票上市规则》等关于资产减值准备有关事项的规定，本议案尚需提交公司股东大会审议</w:t>
      </w:r>
      <w:r>
        <w:rPr>
          <w:rFonts w:hint="default" w:ascii="Times New Roman" w:hAnsi="Times New Roman" w:cs="Times New Roman"/>
          <w:sz w:val="24"/>
          <w:lang w:eastAsia="zh-CN"/>
        </w:rPr>
        <w:t>，</w:t>
      </w:r>
      <w:r>
        <w:rPr>
          <w:rFonts w:hint="default" w:ascii="Times New Roman" w:hAnsi="Times New Roman" w:cs="Times New Roman"/>
          <w:sz w:val="24"/>
        </w:rPr>
        <w:t>现将资产计提有关情况公告如下：</w:t>
      </w:r>
    </w:p>
    <w:p>
      <w:pPr>
        <w:spacing w:line="360" w:lineRule="auto"/>
        <w:ind w:firstLine="480"/>
        <w:rPr>
          <w:rFonts w:hint="default" w:ascii="Times New Roman" w:hAnsi="Times New Roman" w:cs="Times New Roman"/>
          <w:sz w:val="24"/>
        </w:rPr>
      </w:pPr>
    </w:p>
    <w:p>
      <w:pPr>
        <w:spacing w:line="360" w:lineRule="auto"/>
        <w:ind w:firstLine="480"/>
        <w:rPr>
          <w:rFonts w:hint="default" w:ascii="Times New Roman" w:hAnsi="Times New Roman" w:cs="Times New Roman"/>
          <w:b/>
          <w:sz w:val="24"/>
        </w:rPr>
      </w:pPr>
      <w:r>
        <w:rPr>
          <w:rFonts w:hint="default" w:ascii="Times New Roman" w:hAnsi="Times New Roman" w:cs="Times New Roman"/>
          <w:b/>
          <w:sz w:val="24"/>
        </w:rPr>
        <w:t xml:space="preserve">一、计提资产减值准备情况概述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sz w:val="24"/>
        </w:rPr>
      </w:pPr>
      <w:r>
        <w:rPr>
          <w:rFonts w:hint="eastAsia" w:ascii="宋体" w:hAnsi="宋体" w:eastAsia="宋体" w:cs="宋体"/>
          <w:b/>
          <w:sz w:val="24"/>
        </w:rPr>
        <w:t xml:space="preserve">（一）计提资产减值准备的原因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公司依照《企业会计准则》及公司会</w:t>
      </w:r>
      <w:r>
        <w:rPr>
          <w:rFonts w:hint="default" w:ascii="Times New Roman" w:hAnsi="Times New Roman" w:eastAsia="宋体" w:cs="Times New Roman"/>
          <w:sz w:val="24"/>
          <w:highlight w:val="none"/>
        </w:rPr>
        <w:t>计政策的相关规定，对2017年</w:t>
      </w:r>
      <w:r>
        <w:rPr>
          <w:rFonts w:hint="eastAsia" w:ascii="宋体" w:hAnsi="宋体" w:eastAsia="宋体" w:cs="宋体"/>
          <w:sz w:val="24"/>
          <w:highlight w:val="none"/>
        </w:rPr>
        <w:t>度末应收账款、其他应收款、存货、可供出售金融资产、长期股权投资、固定资产、商誉等资产进行了全面清查，对各类资产进行了充分的评估和分析，认为上述部分资产存在一定的减值迹象。本着谨慎性原则，公司对存在减值迹象的资产进行了减值测试，根据测试结果对相关资产计提了减值准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default" w:ascii="Times New Roman" w:hAnsi="Times New Roman" w:cs="Times New Roman"/>
          <w:b/>
          <w:sz w:val="24"/>
        </w:rPr>
      </w:pPr>
      <w:r>
        <w:rPr>
          <w:rFonts w:hint="default" w:ascii="Times New Roman" w:hAnsi="Times New Roman" w:cs="Times New Roman"/>
          <w:b/>
          <w:sz w:val="24"/>
        </w:rPr>
        <w:t>（二）本次计提资产减值准备的</w:t>
      </w:r>
      <w:r>
        <w:rPr>
          <w:rFonts w:hint="default" w:ascii="Times New Roman" w:hAnsi="Times New Roman" w:cs="Times New Roman"/>
          <w:b/>
          <w:sz w:val="24"/>
          <w:lang w:val="en-US" w:eastAsia="zh-CN"/>
        </w:rPr>
        <w:t>具体范围及金额</w:t>
      </w:r>
      <w:r>
        <w:rPr>
          <w:rFonts w:hint="default" w:ascii="Times New Roman" w:hAnsi="Times New Roman" w:cs="Times New Roman"/>
          <w:b/>
          <w:sz w:val="24"/>
        </w:rPr>
        <w:t xml:space="preserve"> </w:t>
      </w:r>
    </w:p>
    <w:tbl>
      <w:tblPr>
        <w:tblStyle w:val="7"/>
        <w:tblW w:w="9958" w:type="dxa"/>
        <w:tblInd w:w="-4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1365"/>
        <w:gridCol w:w="1350"/>
        <w:gridCol w:w="1320"/>
        <w:gridCol w:w="1200"/>
        <w:gridCol w:w="990"/>
        <w:gridCol w:w="1335"/>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050" w:type="dxa"/>
            <w:vMerge w:val="restart"/>
            <w:vAlign w:val="center"/>
          </w:tcPr>
          <w:p>
            <w:pPr>
              <w:widowControl/>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项目</w:t>
            </w:r>
          </w:p>
        </w:tc>
        <w:tc>
          <w:tcPr>
            <w:tcW w:w="1365" w:type="dxa"/>
            <w:vMerge w:val="restart"/>
            <w:vAlign w:val="center"/>
          </w:tcPr>
          <w:p>
            <w:pPr>
              <w:widowControl/>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期初余额</w:t>
            </w:r>
          </w:p>
        </w:tc>
        <w:tc>
          <w:tcPr>
            <w:tcW w:w="1350" w:type="dxa"/>
            <w:vAlign w:val="center"/>
          </w:tcPr>
          <w:p>
            <w:pPr>
              <w:widowControl/>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本期增加</w:t>
            </w:r>
          </w:p>
        </w:tc>
        <w:tc>
          <w:tcPr>
            <w:tcW w:w="4845" w:type="dxa"/>
            <w:gridSpan w:val="4"/>
            <w:vAlign w:val="center"/>
          </w:tcPr>
          <w:p>
            <w:pPr>
              <w:widowControl/>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本期减少</w:t>
            </w:r>
          </w:p>
        </w:tc>
        <w:tc>
          <w:tcPr>
            <w:tcW w:w="1348" w:type="dxa"/>
            <w:vMerge w:val="restart"/>
            <w:vAlign w:val="center"/>
          </w:tcPr>
          <w:p>
            <w:pPr>
              <w:widowControl/>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期末余额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050" w:type="dxa"/>
            <w:vMerge w:val="continue"/>
            <w:vAlign w:val="center"/>
          </w:tcPr>
          <w:p>
            <w:pPr>
              <w:widowControl/>
              <w:jc w:val="left"/>
              <w:rPr>
                <w:rFonts w:hint="default" w:ascii="Times New Roman" w:hAnsi="Times New Roman" w:cs="Times New Roman" w:eastAsiaTheme="minorEastAsia"/>
                <w:color w:val="000000"/>
                <w:kern w:val="0"/>
                <w:sz w:val="18"/>
                <w:szCs w:val="18"/>
              </w:rPr>
            </w:pPr>
          </w:p>
        </w:tc>
        <w:tc>
          <w:tcPr>
            <w:tcW w:w="1365" w:type="dxa"/>
            <w:vMerge w:val="continue"/>
            <w:vAlign w:val="center"/>
          </w:tcPr>
          <w:p>
            <w:pPr>
              <w:widowControl/>
              <w:jc w:val="left"/>
              <w:rPr>
                <w:rFonts w:hint="default" w:ascii="Times New Roman" w:hAnsi="Times New Roman" w:cs="Times New Roman" w:eastAsiaTheme="minorEastAsia"/>
                <w:color w:val="000000"/>
                <w:kern w:val="0"/>
                <w:sz w:val="18"/>
                <w:szCs w:val="18"/>
              </w:rPr>
            </w:pPr>
          </w:p>
        </w:tc>
        <w:tc>
          <w:tcPr>
            <w:tcW w:w="1350" w:type="dxa"/>
            <w:vAlign w:val="center"/>
          </w:tcPr>
          <w:p>
            <w:pPr>
              <w:widowControl/>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本期计提</w:t>
            </w:r>
          </w:p>
        </w:tc>
        <w:tc>
          <w:tcPr>
            <w:tcW w:w="1320" w:type="dxa"/>
            <w:vAlign w:val="center"/>
          </w:tcPr>
          <w:p>
            <w:pPr>
              <w:widowControl/>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转销</w:t>
            </w:r>
          </w:p>
        </w:tc>
        <w:tc>
          <w:tcPr>
            <w:tcW w:w="1200" w:type="dxa"/>
            <w:vAlign w:val="center"/>
          </w:tcPr>
          <w:p>
            <w:pPr>
              <w:widowControl/>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合并减少</w:t>
            </w:r>
          </w:p>
        </w:tc>
        <w:tc>
          <w:tcPr>
            <w:tcW w:w="990" w:type="dxa"/>
            <w:vAlign w:val="center"/>
          </w:tcPr>
          <w:p>
            <w:pPr>
              <w:widowControl/>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其他减少</w:t>
            </w:r>
          </w:p>
        </w:tc>
        <w:tc>
          <w:tcPr>
            <w:tcW w:w="1335" w:type="dxa"/>
            <w:vAlign w:val="center"/>
          </w:tcPr>
          <w:p>
            <w:pPr>
              <w:widowControl/>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合计</w:t>
            </w:r>
          </w:p>
        </w:tc>
        <w:tc>
          <w:tcPr>
            <w:tcW w:w="1348" w:type="dxa"/>
            <w:vMerge w:val="continue"/>
            <w:vAlign w:val="center"/>
          </w:tcPr>
          <w:p>
            <w:pPr>
              <w:widowControl/>
              <w:jc w:val="left"/>
              <w:rPr>
                <w:rFonts w:hint="default" w:ascii="Times New Roman" w:hAnsi="Times New Roman" w:cs="Times New Roman"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050" w:type="dxa"/>
            <w:vAlign w:val="center"/>
          </w:tcPr>
          <w:p>
            <w:pPr>
              <w:widowControl/>
              <w:jc w:val="lef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一、坏账准备</w:t>
            </w:r>
          </w:p>
        </w:tc>
        <w:tc>
          <w:tcPr>
            <w:tcW w:w="1365" w:type="dxa"/>
            <w:vAlign w:val="center"/>
          </w:tcPr>
          <w:p>
            <w:pPr>
              <w:widowControl/>
              <w:jc w:val="righ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190,740,180.82</w:t>
            </w:r>
          </w:p>
        </w:tc>
        <w:tc>
          <w:tcPr>
            <w:tcW w:w="1350" w:type="dxa"/>
            <w:vAlign w:val="center"/>
          </w:tcPr>
          <w:p>
            <w:pPr>
              <w:widowControl/>
              <w:jc w:val="righ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36,129,245.62</w:t>
            </w:r>
          </w:p>
        </w:tc>
        <w:tc>
          <w:tcPr>
            <w:tcW w:w="1320" w:type="dxa"/>
            <w:vAlign w:val="center"/>
          </w:tcPr>
          <w:p>
            <w:pPr>
              <w:widowControl/>
              <w:jc w:val="righ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　</w:t>
            </w:r>
          </w:p>
        </w:tc>
        <w:tc>
          <w:tcPr>
            <w:tcW w:w="1200" w:type="dxa"/>
            <w:vAlign w:val="center"/>
          </w:tcPr>
          <w:p>
            <w:pPr>
              <w:widowControl/>
              <w:jc w:val="righ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2,453,198.68</w:t>
            </w:r>
          </w:p>
        </w:tc>
        <w:tc>
          <w:tcPr>
            <w:tcW w:w="990" w:type="dxa"/>
            <w:vAlign w:val="center"/>
          </w:tcPr>
          <w:p>
            <w:pPr>
              <w:widowControl/>
              <w:jc w:val="righ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13,578.71</w:t>
            </w:r>
          </w:p>
        </w:tc>
        <w:tc>
          <w:tcPr>
            <w:tcW w:w="1335" w:type="dxa"/>
            <w:vAlign w:val="center"/>
          </w:tcPr>
          <w:p>
            <w:pPr>
              <w:widowControl/>
              <w:jc w:val="righ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2,466,777.39</w:t>
            </w:r>
          </w:p>
        </w:tc>
        <w:tc>
          <w:tcPr>
            <w:tcW w:w="1348" w:type="dxa"/>
            <w:vAlign w:val="center"/>
          </w:tcPr>
          <w:p>
            <w:pPr>
              <w:widowControl/>
              <w:jc w:val="righ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224,402,649.05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050" w:type="dxa"/>
            <w:vAlign w:val="center"/>
          </w:tcPr>
          <w:p>
            <w:pPr>
              <w:widowControl/>
              <w:jc w:val="lef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二、存货跌价准备</w:t>
            </w:r>
          </w:p>
        </w:tc>
        <w:tc>
          <w:tcPr>
            <w:tcW w:w="1365" w:type="dxa"/>
            <w:vAlign w:val="center"/>
          </w:tcPr>
          <w:p>
            <w:pPr>
              <w:widowControl/>
              <w:jc w:val="righ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60,858,918.50</w:t>
            </w:r>
          </w:p>
        </w:tc>
        <w:tc>
          <w:tcPr>
            <w:tcW w:w="1350" w:type="dxa"/>
            <w:vAlign w:val="center"/>
          </w:tcPr>
          <w:p>
            <w:pPr>
              <w:widowControl/>
              <w:jc w:val="righ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16,054,188.35</w:t>
            </w:r>
          </w:p>
        </w:tc>
        <w:tc>
          <w:tcPr>
            <w:tcW w:w="1320" w:type="dxa"/>
            <w:vAlign w:val="center"/>
          </w:tcPr>
          <w:p>
            <w:pPr>
              <w:widowControl/>
              <w:jc w:val="righ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7,483,724.56</w:t>
            </w:r>
          </w:p>
        </w:tc>
        <w:tc>
          <w:tcPr>
            <w:tcW w:w="1200" w:type="dxa"/>
            <w:vAlign w:val="center"/>
          </w:tcPr>
          <w:p>
            <w:pPr>
              <w:widowControl/>
              <w:jc w:val="righ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　</w:t>
            </w:r>
          </w:p>
        </w:tc>
        <w:tc>
          <w:tcPr>
            <w:tcW w:w="990" w:type="dxa"/>
            <w:vAlign w:val="center"/>
          </w:tcPr>
          <w:p>
            <w:pPr>
              <w:widowControl/>
              <w:jc w:val="righ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　</w:t>
            </w:r>
          </w:p>
        </w:tc>
        <w:tc>
          <w:tcPr>
            <w:tcW w:w="1335" w:type="dxa"/>
            <w:vAlign w:val="center"/>
          </w:tcPr>
          <w:p>
            <w:pPr>
              <w:widowControl/>
              <w:jc w:val="righ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7,483,724.56</w:t>
            </w:r>
          </w:p>
        </w:tc>
        <w:tc>
          <w:tcPr>
            <w:tcW w:w="1348" w:type="dxa"/>
            <w:vAlign w:val="center"/>
          </w:tcPr>
          <w:p>
            <w:pPr>
              <w:widowControl/>
              <w:jc w:val="righ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69,429,382.29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050" w:type="dxa"/>
            <w:vAlign w:val="center"/>
          </w:tcPr>
          <w:p>
            <w:pPr>
              <w:widowControl/>
              <w:jc w:val="lef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三、可供出售金融资产减值准备</w:t>
            </w:r>
          </w:p>
        </w:tc>
        <w:tc>
          <w:tcPr>
            <w:tcW w:w="1365" w:type="dxa"/>
            <w:vAlign w:val="center"/>
          </w:tcPr>
          <w:p>
            <w:pPr>
              <w:widowControl/>
              <w:jc w:val="righ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57,420,637.41</w:t>
            </w:r>
          </w:p>
        </w:tc>
        <w:tc>
          <w:tcPr>
            <w:tcW w:w="1350" w:type="dxa"/>
            <w:vAlign w:val="center"/>
          </w:tcPr>
          <w:p>
            <w:pPr>
              <w:widowControl/>
              <w:jc w:val="righ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897,000.00</w:t>
            </w:r>
          </w:p>
        </w:tc>
        <w:tc>
          <w:tcPr>
            <w:tcW w:w="1320" w:type="dxa"/>
            <w:vAlign w:val="center"/>
          </w:tcPr>
          <w:p>
            <w:pPr>
              <w:widowControl/>
              <w:jc w:val="righ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　</w:t>
            </w:r>
          </w:p>
        </w:tc>
        <w:tc>
          <w:tcPr>
            <w:tcW w:w="1200" w:type="dxa"/>
            <w:vAlign w:val="center"/>
          </w:tcPr>
          <w:p>
            <w:pPr>
              <w:widowControl/>
              <w:jc w:val="righ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　</w:t>
            </w:r>
          </w:p>
        </w:tc>
        <w:tc>
          <w:tcPr>
            <w:tcW w:w="990" w:type="dxa"/>
            <w:vAlign w:val="center"/>
          </w:tcPr>
          <w:p>
            <w:pPr>
              <w:widowControl/>
              <w:jc w:val="righ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　</w:t>
            </w:r>
          </w:p>
        </w:tc>
        <w:tc>
          <w:tcPr>
            <w:tcW w:w="1335" w:type="dxa"/>
            <w:vAlign w:val="center"/>
          </w:tcPr>
          <w:p>
            <w:pPr>
              <w:widowControl/>
              <w:jc w:val="righ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　</w:t>
            </w:r>
          </w:p>
        </w:tc>
        <w:tc>
          <w:tcPr>
            <w:tcW w:w="1348" w:type="dxa"/>
            <w:vAlign w:val="center"/>
          </w:tcPr>
          <w:p>
            <w:pPr>
              <w:widowControl/>
              <w:jc w:val="righ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58,317,637.41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050" w:type="dxa"/>
            <w:vAlign w:val="center"/>
          </w:tcPr>
          <w:p>
            <w:pPr>
              <w:widowControl/>
              <w:jc w:val="lef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四、固定资产减值准备</w:t>
            </w:r>
          </w:p>
        </w:tc>
        <w:tc>
          <w:tcPr>
            <w:tcW w:w="1365" w:type="dxa"/>
            <w:vAlign w:val="center"/>
          </w:tcPr>
          <w:p>
            <w:pPr>
              <w:widowControl/>
              <w:jc w:val="righ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21,909,954.07</w:t>
            </w:r>
          </w:p>
        </w:tc>
        <w:tc>
          <w:tcPr>
            <w:tcW w:w="1350" w:type="dxa"/>
            <w:vAlign w:val="center"/>
          </w:tcPr>
          <w:p>
            <w:pPr>
              <w:widowControl/>
              <w:jc w:val="righ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17,555,770.83</w:t>
            </w:r>
          </w:p>
        </w:tc>
        <w:tc>
          <w:tcPr>
            <w:tcW w:w="1320" w:type="dxa"/>
            <w:vAlign w:val="center"/>
          </w:tcPr>
          <w:p>
            <w:pPr>
              <w:widowControl/>
              <w:jc w:val="righ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13,419,129.10</w:t>
            </w:r>
          </w:p>
        </w:tc>
        <w:tc>
          <w:tcPr>
            <w:tcW w:w="1200" w:type="dxa"/>
            <w:vAlign w:val="center"/>
          </w:tcPr>
          <w:p>
            <w:pPr>
              <w:widowControl/>
              <w:jc w:val="righ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1,058,519.51</w:t>
            </w:r>
          </w:p>
        </w:tc>
        <w:tc>
          <w:tcPr>
            <w:tcW w:w="990" w:type="dxa"/>
            <w:vAlign w:val="center"/>
          </w:tcPr>
          <w:p>
            <w:pPr>
              <w:widowControl/>
              <w:jc w:val="righ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　</w:t>
            </w:r>
          </w:p>
        </w:tc>
        <w:tc>
          <w:tcPr>
            <w:tcW w:w="1335" w:type="dxa"/>
            <w:vAlign w:val="center"/>
          </w:tcPr>
          <w:p>
            <w:pPr>
              <w:widowControl/>
              <w:jc w:val="righ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14,477,648.61</w:t>
            </w:r>
          </w:p>
        </w:tc>
        <w:tc>
          <w:tcPr>
            <w:tcW w:w="1348" w:type="dxa"/>
            <w:vAlign w:val="center"/>
          </w:tcPr>
          <w:p>
            <w:pPr>
              <w:widowControl/>
              <w:jc w:val="righ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24,988,076.29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050" w:type="dxa"/>
            <w:vAlign w:val="center"/>
          </w:tcPr>
          <w:p>
            <w:pPr>
              <w:widowControl/>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五、商誉减值准备</w:t>
            </w:r>
          </w:p>
        </w:tc>
        <w:tc>
          <w:tcPr>
            <w:tcW w:w="1365" w:type="dxa"/>
            <w:vAlign w:val="center"/>
          </w:tcPr>
          <w:p>
            <w:pPr>
              <w:widowControl/>
              <w:jc w:val="righ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　</w:t>
            </w:r>
          </w:p>
        </w:tc>
        <w:tc>
          <w:tcPr>
            <w:tcW w:w="1350" w:type="dxa"/>
            <w:vAlign w:val="center"/>
          </w:tcPr>
          <w:p>
            <w:pPr>
              <w:widowControl/>
              <w:jc w:val="righ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38,536,355.80</w:t>
            </w:r>
          </w:p>
        </w:tc>
        <w:tc>
          <w:tcPr>
            <w:tcW w:w="1320" w:type="dxa"/>
            <w:vAlign w:val="center"/>
          </w:tcPr>
          <w:p>
            <w:pPr>
              <w:widowControl/>
              <w:jc w:val="righ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　</w:t>
            </w:r>
          </w:p>
        </w:tc>
        <w:tc>
          <w:tcPr>
            <w:tcW w:w="1200" w:type="dxa"/>
            <w:vAlign w:val="center"/>
          </w:tcPr>
          <w:p>
            <w:pPr>
              <w:widowControl/>
              <w:jc w:val="righ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　</w:t>
            </w:r>
          </w:p>
        </w:tc>
        <w:tc>
          <w:tcPr>
            <w:tcW w:w="990" w:type="dxa"/>
            <w:vAlign w:val="center"/>
          </w:tcPr>
          <w:p>
            <w:pPr>
              <w:widowControl/>
              <w:jc w:val="righ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　</w:t>
            </w:r>
          </w:p>
        </w:tc>
        <w:tc>
          <w:tcPr>
            <w:tcW w:w="1335" w:type="dxa"/>
            <w:vAlign w:val="center"/>
          </w:tcPr>
          <w:p>
            <w:pPr>
              <w:widowControl/>
              <w:jc w:val="righ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　</w:t>
            </w:r>
          </w:p>
        </w:tc>
        <w:tc>
          <w:tcPr>
            <w:tcW w:w="1348" w:type="dxa"/>
            <w:vAlign w:val="center"/>
          </w:tcPr>
          <w:p>
            <w:pPr>
              <w:widowControl/>
              <w:jc w:val="righ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38,536,355.80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050" w:type="dxa"/>
            <w:vAlign w:val="center"/>
          </w:tcPr>
          <w:p>
            <w:pPr>
              <w:widowControl/>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合计</w:t>
            </w:r>
          </w:p>
        </w:tc>
        <w:tc>
          <w:tcPr>
            <w:tcW w:w="1365" w:type="dxa"/>
            <w:vAlign w:val="center"/>
          </w:tcPr>
          <w:p>
            <w:pPr>
              <w:widowControl/>
              <w:jc w:val="righ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330,929,690.80</w:t>
            </w:r>
          </w:p>
        </w:tc>
        <w:tc>
          <w:tcPr>
            <w:tcW w:w="1350" w:type="dxa"/>
            <w:vAlign w:val="center"/>
          </w:tcPr>
          <w:p>
            <w:pPr>
              <w:widowControl/>
              <w:jc w:val="righ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109,172,560.60</w:t>
            </w:r>
          </w:p>
        </w:tc>
        <w:tc>
          <w:tcPr>
            <w:tcW w:w="1320" w:type="dxa"/>
            <w:vAlign w:val="center"/>
          </w:tcPr>
          <w:p>
            <w:pPr>
              <w:widowControl/>
              <w:jc w:val="righ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20,902,853.66</w:t>
            </w:r>
          </w:p>
        </w:tc>
        <w:tc>
          <w:tcPr>
            <w:tcW w:w="1200" w:type="dxa"/>
            <w:vAlign w:val="center"/>
          </w:tcPr>
          <w:p>
            <w:pPr>
              <w:widowControl/>
              <w:jc w:val="righ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3,511,718.19</w:t>
            </w:r>
          </w:p>
        </w:tc>
        <w:tc>
          <w:tcPr>
            <w:tcW w:w="990" w:type="dxa"/>
            <w:vAlign w:val="center"/>
          </w:tcPr>
          <w:p>
            <w:pPr>
              <w:widowControl/>
              <w:jc w:val="righ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13,578.71</w:t>
            </w:r>
          </w:p>
        </w:tc>
        <w:tc>
          <w:tcPr>
            <w:tcW w:w="1335" w:type="dxa"/>
            <w:vAlign w:val="center"/>
          </w:tcPr>
          <w:p>
            <w:pPr>
              <w:widowControl/>
              <w:jc w:val="righ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24,428,150.56</w:t>
            </w:r>
          </w:p>
        </w:tc>
        <w:tc>
          <w:tcPr>
            <w:tcW w:w="1348" w:type="dxa"/>
            <w:vAlign w:val="center"/>
          </w:tcPr>
          <w:p>
            <w:pPr>
              <w:widowControl/>
              <w:jc w:val="righ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415,674,100.84</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0"/>
        <w:jc w:val="both"/>
        <w:textAlignment w:val="auto"/>
        <w:outlineLvl w:val="9"/>
        <w:rPr>
          <w:rFonts w:hint="default" w:ascii="Times New Roman" w:hAnsi="Times New Roman" w:eastAsia="宋体" w:cs="Times New Roman"/>
          <w:b/>
          <w:sz w:val="24"/>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0"/>
        <w:jc w:val="both"/>
        <w:textAlignment w:val="auto"/>
        <w:outlineLvl w:val="9"/>
        <w:rPr>
          <w:rFonts w:hint="default" w:ascii="Times New Roman" w:hAnsi="Times New Roman" w:eastAsia="Times New Roman" w:cs="Times New Roman"/>
          <w:b/>
          <w:sz w:val="24"/>
        </w:rPr>
      </w:pPr>
      <w:r>
        <w:rPr>
          <w:rFonts w:hint="default" w:ascii="Times New Roman" w:hAnsi="Times New Roman" w:eastAsia="宋体" w:cs="Times New Roman"/>
          <w:b/>
          <w:sz w:val="24"/>
          <w:lang w:eastAsia="zh-CN"/>
        </w:rPr>
        <w:t>（</w:t>
      </w:r>
      <w:r>
        <w:rPr>
          <w:rFonts w:hint="default" w:ascii="Times New Roman" w:hAnsi="Times New Roman" w:eastAsia="宋体" w:cs="Times New Roman"/>
          <w:b/>
          <w:sz w:val="24"/>
          <w:lang w:val="en-US" w:eastAsia="zh-CN"/>
        </w:rPr>
        <w:t>三</w:t>
      </w:r>
      <w:r>
        <w:rPr>
          <w:rFonts w:hint="default" w:ascii="Times New Roman" w:hAnsi="Times New Roman" w:eastAsia="宋体" w:cs="Times New Roman"/>
          <w:b/>
          <w:sz w:val="24"/>
          <w:lang w:eastAsia="zh-CN"/>
        </w:rPr>
        <w:t>）</w:t>
      </w:r>
      <w:r>
        <w:rPr>
          <w:rFonts w:hint="default" w:ascii="Times New Roman" w:hAnsi="Times New Roman" w:eastAsia="Times New Roman" w:cs="Times New Roman"/>
          <w:b/>
          <w:sz w:val="24"/>
        </w:rPr>
        <w:t>本次计提资产减值准备</w:t>
      </w:r>
      <w:r>
        <w:rPr>
          <w:rFonts w:hint="default" w:ascii="Times New Roman" w:hAnsi="Times New Roman" w:eastAsia="宋体" w:cs="Times New Roman"/>
          <w:b/>
          <w:sz w:val="24"/>
          <w:lang w:val="en-US" w:eastAsia="zh-CN"/>
        </w:rPr>
        <w:t>的依据</w:t>
      </w:r>
      <w:r>
        <w:rPr>
          <w:rFonts w:hint="eastAsia" w:cs="Times New Roman"/>
          <w:b/>
          <w:sz w:val="24"/>
          <w:lang w:val="en-US" w:eastAsia="zh-CN"/>
        </w:rPr>
        <w:t>和会计处理过程</w:t>
      </w:r>
      <w:r>
        <w:rPr>
          <w:rFonts w:hint="default" w:ascii="Times New Roman" w:hAnsi="Times New Roman" w:eastAsia="Times New Roman" w:cs="Times New Roman"/>
          <w:b/>
          <w:sz w:val="24"/>
        </w:rPr>
        <w:t xml:space="preserve"> </w:t>
      </w:r>
    </w:p>
    <w:p>
      <w:pPr>
        <w:spacing w:line="360" w:lineRule="auto"/>
        <w:ind w:firstLine="480"/>
        <w:rPr>
          <w:rFonts w:hint="default" w:ascii="Times New Roman" w:hAnsi="Times New Roman" w:cs="Times New Roman"/>
          <w:sz w:val="24"/>
          <w:highlight w:val="none"/>
        </w:rPr>
      </w:pPr>
      <w:r>
        <w:rPr>
          <w:rFonts w:hint="eastAsia" w:cs="Times New Roman"/>
          <w:sz w:val="24"/>
          <w:highlight w:val="none"/>
          <w:lang w:val="en-US" w:eastAsia="zh-CN"/>
        </w:rPr>
        <w:t>1、</w:t>
      </w:r>
      <w:r>
        <w:rPr>
          <w:rFonts w:hint="default" w:ascii="Times New Roman" w:hAnsi="Times New Roman" w:cs="Times New Roman"/>
          <w:sz w:val="24"/>
          <w:highlight w:val="none"/>
        </w:rPr>
        <w:t>2017年度按照公司会计政策计提坏账准备36,129,245.62元，其中按照信用风险特征组合计提坏账准备25,685,986.59元，单项金额虽不重大但单项计提坏账准备10,443,259.03元。本期减少坏账准备2,466,777.39元，其中：合并范围变化减少坏账准备2,453,198.68元，汇率折算原因减少13,578.71元。</w:t>
      </w:r>
    </w:p>
    <w:p>
      <w:pPr>
        <w:numPr>
          <w:ilvl w:val="0"/>
          <w:numId w:val="1"/>
        </w:numPr>
        <w:spacing w:line="360" w:lineRule="auto"/>
        <w:ind w:firstLine="480"/>
        <w:rPr>
          <w:rFonts w:hint="default" w:ascii="Times New Roman" w:hAnsi="Times New Roman" w:cs="Times New Roman"/>
          <w:sz w:val="24"/>
          <w:highlight w:val="none"/>
        </w:rPr>
      </w:pPr>
      <w:r>
        <w:rPr>
          <w:rFonts w:hint="default" w:ascii="Times New Roman" w:hAnsi="Times New Roman" w:cs="Times New Roman"/>
          <w:sz w:val="24"/>
          <w:highlight w:val="none"/>
        </w:rPr>
        <w:t>截止2017年12月31日，公司涉及和服务的部分下游行业市场竞争激烈，部分产品售价持续走低，导致个别业务领域产品销售毛利出现较大幅度下滑，对由于价格下跌或不适应市场需求的产品计提了存货跌价准备16,054,188.35元。本期因销售转销存货跌价准备7,483,724.56元，本期存货跌价准备净增加8,570,463.79元。</w:t>
      </w:r>
    </w:p>
    <w:p>
      <w:pPr>
        <w:numPr>
          <w:ilvl w:val="0"/>
          <w:numId w:val="1"/>
        </w:numPr>
        <w:spacing w:line="360" w:lineRule="auto"/>
        <w:ind w:firstLine="480"/>
        <w:rPr>
          <w:rFonts w:hint="default" w:ascii="Times New Roman" w:hAnsi="Times New Roman" w:cs="Times New Roman"/>
          <w:sz w:val="24"/>
          <w:highlight w:val="none"/>
        </w:rPr>
      </w:pPr>
      <w:r>
        <w:rPr>
          <w:rFonts w:hint="default" w:ascii="Times New Roman" w:hAnsi="Times New Roman" w:cs="Times New Roman"/>
          <w:sz w:val="24"/>
          <w:highlight w:val="none"/>
        </w:rPr>
        <w:t>对在可供出售金融资产中核算的长期股权投资进行减值测试并计提可供出售金融资产减值损失897,000.00元。</w:t>
      </w:r>
    </w:p>
    <w:p>
      <w:pPr>
        <w:spacing w:line="360" w:lineRule="auto"/>
        <w:ind w:firstLine="480"/>
        <w:rPr>
          <w:rFonts w:hint="default" w:ascii="Times New Roman" w:hAnsi="Times New Roman" w:cs="Times New Roman"/>
          <w:sz w:val="24"/>
          <w:highlight w:val="none"/>
        </w:rPr>
      </w:pPr>
      <w:r>
        <w:rPr>
          <w:rFonts w:hint="eastAsia" w:cs="Times New Roman"/>
          <w:sz w:val="24"/>
          <w:highlight w:val="none"/>
          <w:lang w:val="en-US" w:eastAsia="zh-CN"/>
        </w:rPr>
        <w:t>4、</w:t>
      </w:r>
      <w:r>
        <w:rPr>
          <w:rFonts w:hint="default" w:ascii="Times New Roman" w:hAnsi="Times New Roman" w:cs="Times New Roman"/>
          <w:sz w:val="24"/>
          <w:highlight w:val="none"/>
        </w:rPr>
        <w:t>由于市场变化和产品结构调整，部分原有生产设备不再适用，计提固定资产减值准备19,240,338.45元。固定资产减值准备减少14,477,648.61元，其中：处置原计提减值准备的固定资产减少13,419,129.10元；合并范围变化减少1,058,519.51元。固定资产减值准备净增加4,762,689.84元。</w:t>
      </w:r>
    </w:p>
    <w:p>
      <w:pPr>
        <w:spacing w:line="360" w:lineRule="auto"/>
        <w:ind w:firstLine="480"/>
        <w:rPr>
          <w:rFonts w:hint="default" w:ascii="Times New Roman" w:hAnsi="Times New Roman" w:cs="Times New Roman"/>
          <w:sz w:val="24"/>
          <w:highlight w:val="none"/>
        </w:rPr>
      </w:pPr>
      <w:r>
        <w:rPr>
          <w:rFonts w:hint="eastAsia" w:cs="Times New Roman"/>
          <w:sz w:val="24"/>
          <w:highlight w:val="none"/>
          <w:lang w:val="en-US" w:eastAsia="zh-CN"/>
        </w:rPr>
        <w:t>5、</w:t>
      </w:r>
      <w:r>
        <w:rPr>
          <w:rFonts w:hint="default" w:ascii="Times New Roman" w:hAnsi="Times New Roman" w:cs="Times New Roman"/>
          <w:sz w:val="24"/>
          <w:highlight w:val="none"/>
        </w:rPr>
        <w:t>控股子公司天津三英焊业股份有限公司近两年持续亏损，未来盈利仍具有不确定性，根据会计准则相关要求，对包含商誉的资产组进行减值测试，根据减值测试结果计提商誉减值准备38,536,355.80元。</w:t>
      </w:r>
    </w:p>
    <w:p>
      <w:pPr>
        <w:numPr>
          <w:ilvl w:val="0"/>
          <w:numId w:val="0"/>
        </w:numPr>
        <w:spacing w:line="360" w:lineRule="auto"/>
        <w:rPr>
          <w:rFonts w:hint="default" w:ascii="Times New Roman" w:hAnsi="Times New Roman" w:cs="Times New Roman"/>
          <w:b/>
          <w:sz w:val="24"/>
        </w:rPr>
      </w:pPr>
      <w:r>
        <w:rPr>
          <w:rFonts w:hint="default" w:ascii="Times New Roman" w:hAnsi="Times New Roman" w:cs="Times New Roman"/>
          <w:b/>
          <w:sz w:val="24"/>
          <w:lang w:val="en-US" w:eastAsia="zh-CN"/>
        </w:rPr>
        <w:t xml:space="preserve">    （四）</w:t>
      </w:r>
      <w:r>
        <w:rPr>
          <w:rFonts w:hint="default" w:ascii="Times New Roman" w:hAnsi="Times New Roman" w:cs="Times New Roman"/>
          <w:b/>
          <w:sz w:val="24"/>
        </w:rPr>
        <w:t xml:space="preserve">公司对计提资产减值准备事项履行的审批程序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b w:val="0"/>
          <w:bCs/>
          <w:sz w:val="24"/>
          <w:highlight w:val="none"/>
        </w:rPr>
      </w:pPr>
      <w:r>
        <w:rPr>
          <w:rFonts w:hint="default" w:ascii="Times New Roman" w:hAnsi="Times New Roman" w:cs="Times New Roman"/>
          <w:b w:val="0"/>
          <w:bCs/>
          <w:sz w:val="24"/>
        </w:rPr>
        <w:t>本次计提资产减值准备事项已经公司第</w:t>
      </w:r>
      <w:r>
        <w:rPr>
          <w:rFonts w:hint="eastAsia" w:cs="Times New Roman"/>
          <w:b w:val="0"/>
          <w:bCs/>
          <w:sz w:val="24"/>
          <w:lang w:val="en-US" w:eastAsia="zh-CN"/>
        </w:rPr>
        <w:t>七</w:t>
      </w:r>
      <w:r>
        <w:rPr>
          <w:rFonts w:hint="default" w:ascii="Times New Roman" w:hAnsi="Times New Roman" w:cs="Times New Roman"/>
          <w:b w:val="0"/>
          <w:bCs/>
          <w:sz w:val="24"/>
        </w:rPr>
        <w:t>届董事会第</w:t>
      </w:r>
      <w:r>
        <w:rPr>
          <w:rFonts w:hint="default" w:ascii="Times New Roman" w:hAnsi="Times New Roman" w:cs="Times New Roman"/>
          <w:b w:val="0"/>
          <w:bCs/>
          <w:sz w:val="24"/>
          <w:lang w:val="en-US" w:eastAsia="zh-CN"/>
        </w:rPr>
        <w:t>二</w:t>
      </w:r>
      <w:r>
        <w:rPr>
          <w:rFonts w:hint="default" w:ascii="Times New Roman" w:hAnsi="Times New Roman" w:cs="Times New Roman"/>
          <w:b w:val="0"/>
          <w:bCs/>
          <w:sz w:val="24"/>
        </w:rPr>
        <w:t>次会议及第</w:t>
      </w:r>
      <w:r>
        <w:rPr>
          <w:rFonts w:hint="eastAsia" w:cs="Times New Roman"/>
          <w:b w:val="0"/>
          <w:bCs/>
          <w:sz w:val="24"/>
          <w:lang w:val="en-US" w:eastAsia="zh-CN"/>
        </w:rPr>
        <w:t>七</w:t>
      </w:r>
      <w:r>
        <w:rPr>
          <w:rFonts w:hint="default" w:ascii="Times New Roman" w:hAnsi="Times New Roman" w:cs="Times New Roman"/>
          <w:b w:val="0"/>
          <w:bCs/>
          <w:sz w:val="24"/>
        </w:rPr>
        <w:t>届监事会第</w:t>
      </w:r>
      <w:r>
        <w:rPr>
          <w:rFonts w:hint="eastAsia" w:cs="Times New Roman"/>
          <w:b w:val="0"/>
          <w:bCs/>
          <w:sz w:val="24"/>
          <w:lang w:val="en-US" w:eastAsia="zh-CN"/>
        </w:rPr>
        <w:t>二</w:t>
      </w:r>
      <w:r>
        <w:rPr>
          <w:rFonts w:hint="default" w:ascii="Times New Roman" w:hAnsi="Times New Roman" w:cs="Times New Roman"/>
          <w:b w:val="0"/>
          <w:bCs/>
          <w:sz w:val="24"/>
        </w:rPr>
        <w:t>次会议审议通过，独立董事对该事项发表独立意见，同意本次计提资产减值准备。董事会审计委员会对预计需计提的资产减值准备作了合理性的</w:t>
      </w:r>
      <w:r>
        <w:rPr>
          <w:rFonts w:hint="default" w:ascii="Times New Roman" w:hAnsi="Times New Roman" w:cs="Times New Roman"/>
          <w:b w:val="0"/>
          <w:bCs/>
          <w:sz w:val="24"/>
          <w:highlight w:val="none"/>
        </w:rPr>
        <w:t>说明。</w:t>
      </w:r>
      <w:r>
        <w:rPr>
          <w:rFonts w:hint="default" w:ascii="Times New Roman" w:hAnsi="Times New Roman" w:cs="Times New Roman"/>
          <w:b w:val="0"/>
          <w:bCs/>
          <w:sz w:val="24"/>
          <w:highlight w:val="none"/>
          <w:lang w:val="en-US" w:eastAsia="zh-CN"/>
        </w:rPr>
        <w:t>根据相关规则，本次计提资产减值准备</w:t>
      </w:r>
      <w:r>
        <w:rPr>
          <w:rFonts w:hint="eastAsia" w:cs="Times New Roman"/>
          <w:b w:val="0"/>
          <w:bCs/>
          <w:sz w:val="24"/>
          <w:highlight w:val="none"/>
          <w:lang w:val="en-US" w:eastAsia="zh-CN"/>
        </w:rPr>
        <w:t>超过</w:t>
      </w:r>
      <w:r>
        <w:rPr>
          <w:rFonts w:hint="default" w:ascii="Times New Roman" w:hAnsi="Times New Roman" w:cs="Times New Roman"/>
          <w:b w:val="0"/>
          <w:bCs/>
          <w:sz w:val="24"/>
          <w:highlight w:val="none"/>
          <w:lang w:val="en-US" w:eastAsia="zh-CN"/>
        </w:rPr>
        <w:t>公司最近一个会计年度经审计净利润的</w:t>
      </w:r>
      <w:r>
        <w:rPr>
          <w:rFonts w:hint="eastAsia" w:cs="Times New Roman"/>
          <w:b w:val="0"/>
          <w:bCs/>
          <w:sz w:val="24"/>
          <w:highlight w:val="none"/>
          <w:lang w:val="en-US" w:eastAsia="zh-CN"/>
        </w:rPr>
        <w:t>50</w:t>
      </w:r>
      <w:r>
        <w:rPr>
          <w:rFonts w:hint="default" w:ascii="Times New Roman" w:hAnsi="Times New Roman" w:cs="Times New Roman"/>
          <w:b w:val="0"/>
          <w:bCs/>
          <w:sz w:val="24"/>
          <w:highlight w:val="none"/>
          <w:lang w:val="en-US" w:eastAsia="zh-CN"/>
        </w:rPr>
        <w:t>%，且绝对金额超过500万元，还应</w:t>
      </w:r>
      <w:r>
        <w:rPr>
          <w:rFonts w:hint="default" w:ascii="Times New Roman" w:hAnsi="Times New Roman" w:cs="Times New Roman"/>
          <w:b w:val="0"/>
          <w:bCs/>
          <w:sz w:val="24"/>
          <w:highlight w:val="none"/>
        </w:rPr>
        <w:t>提交公司201</w:t>
      </w:r>
      <w:r>
        <w:rPr>
          <w:rFonts w:hint="eastAsia" w:cs="Times New Roman"/>
          <w:b w:val="0"/>
          <w:bCs/>
          <w:sz w:val="24"/>
          <w:highlight w:val="none"/>
          <w:lang w:val="en-US" w:eastAsia="zh-CN"/>
        </w:rPr>
        <w:t>7</w:t>
      </w:r>
      <w:r>
        <w:rPr>
          <w:rFonts w:hint="default" w:ascii="Times New Roman" w:hAnsi="Times New Roman" w:cs="Times New Roman"/>
          <w:b w:val="0"/>
          <w:bCs/>
          <w:sz w:val="24"/>
          <w:highlight w:val="none"/>
        </w:rPr>
        <w:t xml:space="preserve">年年度股东大会审议。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0"/>
        <w:jc w:val="both"/>
        <w:textAlignment w:val="auto"/>
        <w:outlineLvl w:val="9"/>
        <w:rPr>
          <w:rFonts w:hint="default" w:ascii="Times New Roman" w:hAnsi="Times New Roman" w:eastAsia="Times New Roman" w:cs="Times New Roman"/>
          <w:b/>
          <w:sz w:val="24"/>
        </w:rPr>
      </w:pPr>
      <w:r>
        <w:rPr>
          <w:rFonts w:hint="default" w:ascii="Times New Roman" w:hAnsi="Times New Roman" w:eastAsia="Times New Roman" w:cs="Times New Roman"/>
          <w:b/>
          <w:sz w:val="24"/>
        </w:rPr>
        <w:t xml:space="preserve">二、本次计提减值损失对公司的影响 </w:t>
      </w:r>
    </w:p>
    <w:p>
      <w:pPr>
        <w:spacing w:line="360" w:lineRule="auto"/>
        <w:ind w:firstLine="480"/>
        <w:rPr>
          <w:rFonts w:hint="default" w:ascii="Times New Roman" w:hAnsi="Times New Roman" w:cs="Times New Roman"/>
          <w:sz w:val="24"/>
        </w:rPr>
      </w:pPr>
      <w:r>
        <w:rPr>
          <w:rFonts w:hint="default" w:ascii="Times New Roman" w:hAnsi="Times New Roman" w:cs="Times New Roman"/>
          <w:sz w:val="24"/>
        </w:rPr>
        <w:t>公司本次计提资产减值准备，将减少归属于上市公司2017年度净利润109,172,560.60元，减少2017年度归属于母公司所有者净利润91,206,098.00元。</w:t>
      </w:r>
    </w:p>
    <w:p>
      <w:pPr>
        <w:spacing w:line="360" w:lineRule="auto"/>
        <w:ind w:firstLine="480"/>
        <w:rPr>
          <w:rFonts w:hint="default" w:ascii="Times New Roman" w:hAnsi="Times New Roman" w:eastAsia="Times New Roman" w:cs="Times New Roman"/>
          <w:b/>
          <w:color w:val="auto"/>
          <w:sz w:val="24"/>
        </w:rPr>
      </w:pPr>
      <w:r>
        <w:rPr>
          <w:rFonts w:hint="default" w:ascii="Times New Roman" w:hAnsi="Times New Roman" w:cs="Times New Roman"/>
          <w:b/>
          <w:color w:val="auto"/>
          <w:sz w:val="24"/>
          <w:lang w:val="en-US" w:eastAsia="zh-CN"/>
        </w:rPr>
        <w:t>三</w:t>
      </w:r>
      <w:r>
        <w:rPr>
          <w:rFonts w:hint="default" w:ascii="Times New Roman" w:hAnsi="Times New Roman" w:cs="Times New Roman"/>
          <w:b/>
          <w:color w:val="auto"/>
          <w:sz w:val="24"/>
        </w:rPr>
        <w:t xml:space="preserve">、董事会关于计提资产减值准备的说明 </w:t>
      </w:r>
      <w:bookmarkStart w:id="2" w:name="_GoBack"/>
      <w:bookmarkEnd w:id="2"/>
    </w:p>
    <w:p>
      <w:pPr>
        <w:spacing w:line="360" w:lineRule="auto"/>
        <w:ind w:firstLine="480"/>
        <w:rPr>
          <w:rFonts w:hint="default" w:ascii="Times New Roman" w:hAnsi="Times New Roman" w:cs="Times New Roman"/>
          <w:color w:val="auto"/>
          <w:sz w:val="24"/>
        </w:rPr>
      </w:pPr>
      <w:r>
        <w:rPr>
          <w:rFonts w:hint="default" w:ascii="Times New Roman" w:hAnsi="Times New Roman" w:cs="Times New Roman"/>
          <w:color w:val="auto"/>
          <w:sz w:val="24"/>
        </w:rPr>
        <w:t>公司董事会审计委员会已提前审阅该议案并发表意见，同意将《</w:t>
      </w:r>
      <w:r>
        <w:rPr>
          <w:rFonts w:hint="default" w:ascii="Times New Roman" w:hAnsi="Times New Roman" w:cs="Times New Roman"/>
          <w:sz w:val="24"/>
        </w:rPr>
        <w:t>安泰科技</w:t>
      </w:r>
      <w:r>
        <w:rPr>
          <w:rFonts w:hint="default" w:ascii="Times New Roman" w:hAnsi="Times New Roman" w:cs="Times New Roman"/>
          <w:color w:val="auto"/>
          <w:sz w:val="24"/>
        </w:rPr>
        <w:t>关于201</w:t>
      </w:r>
      <w:r>
        <w:rPr>
          <w:rFonts w:hint="eastAsia" w:cs="Times New Roman"/>
          <w:color w:val="auto"/>
          <w:sz w:val="24"/>
          <w:lang w:val="en-US" w:eastAsia="zh-CN"/>
        </w:rPr>
        <w:t>7</w:t>
      </w:r>
      <w:r>
        <w:rPr>
          <w:rFonts w:hint="default" w:ascii="Times New Roman" w:hAnsi="Times New Roman" w:cs="Times New Roman"/>
          <w:color w:val="auto"/>
          <w:sz w:val="24"/>
        </w:rPr>
        <w:t>年度计提资产减值准备的议案》提交公司董事会审议。公司董事会认为，本次资产减值准备计提遵照《企业会计准则》和公司相关会计政策的规定，是根据相关资产的实际情况并经资产减值测试后基于谨慎性原则而作出的，计提资产减值准备依据充分。计提资产减值准备后，公司201</w:t>
      </w:r>
      <w:r>
        <w:rPr>
          <w:rFonts w:hint="eastAsia" w:cs="Times New Roman"/>
          <w:color w:val="auto"/>
          <w:sz w:val="24"/>
          <w:lang w:val="en-US" w:eastAsia="zh-CN"/>
        </w:rPr>
        <w:t>7</w:t>
      </w:r>
      <w:r>
        <w:rPr>
          <w:rFonts w:hint="default" w:ascii="Times New Roman" w:hAnsi="Times New Roman" w:cs="Times New Roman"/>
          <w:color w:val="auto"/>
          <w:sz w:val="24"/>
        </w:rPr>
        <w:t>年度财务报表能够更加公允地反映截止201</w:t>
      </w:r>
      <w:r>
        <w:rPr>
          <w:rFonts w:hint="eastAsia" w:cs="Times New Roman"/>
          <w:color w:val="auto"/>
          <w:sz w:val="24"/>
          <w:lang w:val="en-US" w:eastAsia="zh-CN"/>
        </w:rPr>
        <w:t>7</w:t>
      </w:r>
      <w:r>
        <w:rPr>
          <w:rFonts w:hint="default" w:ascii="Times New Roman" w:hAnsi="Times New Roman" w:cs="Times New Roman"/>
          <w:color w:val="auto"/>
          <w:sz w:val="24"/>
        </w:rPr>
        <w:t xml:space="preserve">年12月31日公司的财务状况、资产价值及经营成果，使公司的会计信息更具有合理性。 </w:t>
      </w:r>
    </w:p>
    <w:p>
      <w:pPr>
        <w:spacing w:line="360" w:lineRule="auto"/>
        <w:ind w:firstLine="480"/>
        <w:rPr>
          <w:rFonts w:hint="default" w:ascii="Times New Roman" w:hAnsi="Times New Roman" w:eastAsia="Times New Roman" w:cs="Times New Roman"/>
          <w:b/>
          <w:bCs/>
          <w:sz w:val="24"/>
        </w:rPr>
      </w:pPr>
      <w:r>
        <w:rPr>
          <w:rFonts w:hint="default" w:ascii="Times New Roman" w:hAnsi="Times New Roman" w:eastAsia="宋体" w:cs="Times New Roman"/>
          <w:b/>
          <w:bCs/>
          <w:sz w:val="24"/>
          <w:lang w:val="en-US" w:eastAsia="zh-CN"/>
        </w:rPr>
        <w:t>四</w:t>
      </w:r>
      <w:r>
        <w:rPr>
          <w:rFonts w:hint="default" w:ascii="Times New Roman" w:hAnsi="Times New Roman" w:cs="Times New Roman"/>
          <w:b/>
          <w:bCs/>
          <w:sz w:val="24"/>
        </w:rPr>
        <w:t>、</w:t>
      </w:r>
      <w:r>
        <w:rPr>
          <w:rFonts w:hint="default" w:ascii="Times New Roman" w:hAnsi="Times New Roman" w:eastAsia="Times New Roman" w:cs="Times New Roman"/>
          <w:b/>
          <w:bCs/>
          <w:sz w:val="24"/>
        </w:rPr>
        <w:t xml:space="preserve"> 独立董事关于计提资产减值准备的独立意见 </w:t>
      </w:r>
    </w:p>
    <w:p>
      <w:pPr>
        <w:spacing w:line="360" w:lineRule="auto"/>
        <w:ind w:firstLine="480"/>
        <w:rPr>
          <w:rFonts w:hint="default" w:ascii="Times New Roman" w:hAnsi="Times New Roman" w:cs="Times New Roman"/>
          <w:sz w:val="24"/>
        </w:rPr>
      </w:pPr>
      <w:r>
        <w:rPr>
          <w:rFonts w:hint="default" w:ascii="Times New Roman" w:hAnsi="Times New Roman" w:cs="Times New Roman"/>
          <w:sz w:val="24"/>
        </w:rPr>
        <w:t>独立董事对公司201</w:t>
      </w:r>
      <w:r>
        <w:rPr>
          <w:rFonts w:hint="eastAsia" w:cs="Times New Roman"/>
          <w:sz w:val="24"/>
          <w:lang w:val="en-US" w:eastAsia="zh-CN"/>
        </w:rPr>
        <w:t>7</w:t>
      </w:r>
      <w:r>
        <w:rPr>
          <w:rFonts w:hint="default" w:ascii="Times New Roman" w:hAnsi="Times New Roman" w:cs="Times New Roman"/>
          <w:sz w:val="24"/>
        </w:rPr>
        <w:t>年度计提资产减值准备事项发表如下独立意见：公司本次计提相关资产减值准备是基于稳健的会计原则，依据充分合理，符合《企业会计准则》和公司相关制度的规定，并履行了相应的</w:t>
      </w:r>
      <w:r>
        <w:rPr>
          <w:rFonts w:hint="eastAsia" w:cs="Times New Roman"/>
          <w:sz w:val="24"/>
          <w:lang w:val="en-US" w:eastAsia="zh-CN"/>
        </w:rPr>
        <w:t>董事会</w:t>
      </w:r>
      <w:r>
        <w:rPr>
          <w:rFonts w:hint="default" w:ascii="Times New Roman" w:hAnsi="Times New Roman" w:cs="Times New Roman"/>
          <w:sz w:val="24"/>
        </w:rPr>
        <w:t>审批程序。《安泰科技201</w:t>
      </w:r>
      <w:r>
        <w:rPr>
          <w:rFonts w:hint="eastAsia" w:cs="Times New Roman"/>
          <w:sz w:val="24"/>
          <w:lang w:val="en-US" w:eastAsia="zh-CN"/>
        </w:rPr>
        <w:t>7</w:t>
      </w:r>
      <w:r>
        <w:rPr>
          <w:rFonts w:hint="default" w:ascii="Times New Roman" w:hAnsi="Times New Roman" w:cs="Times New Roman"/>
          <w:sz w:val="24"/>
        </w:rPr>
        <w:t>年度计提资产减值准备的议案》尚需提交公司201</w:t>
      </w:r>
      <w:r>
        <w:rPr>
          <w:rFonts w:hint="eastAsia" w:cs="Times New Roman"/>
          <w:sz w:val="24"/>
          <w:lang w:val="en-US" w:eastAsia="zh-CN"/>
        </w:rPr>
        <w:t>7</w:t>
      </w:r>
      <w:r>
        <w:rPr>
          <w:rFonts w:hint="default" w:ascii="Times New Roman" w:hAnsi="Times New Roman" w:cs="Times New Roman"/>
          <w:sz w:val="24"/>
        </w:rPr>
        <w:t>年年度股东大会审议。计提资产减值准备后，公司201</w:t>
      </w:r>
      <w:r>
        <w:rPr>
          <w:rFonts w:hint="eastAsia" w:cs="Times New Roman"/>
          <w:sz w:val="24"/>
          <w:lang w:val="en-US" w:eastAsia="zh-CN"/>
        </w:rPr>
        <w:t>7</w:t>
      </w:r>
      <w:r>
        <w:rPr>
          <w:rFonts w:hint="default" w:ascii="Times New Roman" w:hAnsi="Times New Roman" w:cs="Times New Roman"/>
          <w:sz w:val="24"/>
        </w:rPr>
        <w:t>年度财务报表能够更加公允地反映截止201</w:t>
      </w:r>
      <w:r>
        <w:rPr>
          <w:rFonts w:hint="eastAsia" w:cs="Times New Roman"/>
          <w:sz w:val="24"/>
          <w:lang w:val="en-US" w:eastAsia="zh-CN"/>
        </w:rPr>
        <w:t>7</w:t>
      </w:r>
      <w:r>
        <w:rPr>
          <w:rFonts w:hint="default" w:ascii="Times New Roman" w:hAnsi="Times New Roman" w:cs="Times New Roman"/>
          <w:sz w:val="24"/>
        </w:rPr>
        <w:t>年12月31日公司的财务状况、资产价值及经营成果，有助于向投资者提供更加真实、可靠、准确的会计信息。公司本次计提资产减值准备符合公司的整体利益，不存在损害公司和全体股东特别是中小股东利益的情况。 因此，我们同意公司201</w:t>
      </w:r>
      <w:r>
        <w:rPr>
          <w:rFonts w:hint="eastAsia" w:cs="Times New Roman"/>
          <w:sz w:val="24"/>
          <w:lang w:val="en-US" w:eastAsia="zh-CN"/>
        </w:rPr>
        <w:t>7</w:t>
      </w:r>
      <w:r>
        <w:rPr>
          <w:rFonts w:hint="default" w:ascii="Times New Roman" w:hAnsi="Times New Roman" w:cs="Times New Roman"/>
          <w:sz w:val="24"/>
        </w:rPr>
        <w:t>年度计提资产减值准备</w:t>
      </w:r>
      <w:r>
        <w:rPr>
          <w:rFonts w:hint="default" w:ascii="Times New Roman" w:hAnsi="Times New Roman" w:cs="Times New Roman"/>
          <w:sz w:val="24"/>
          <w:lang w:eastAsia="zh-CN"/>
        </w:rPr>
        <w:t>，</w:t>
      </w:r>
      <w:r>
        <w:rPr>
          <w:rFonts w:hint="default" w:ascii="Times New Roman" w:hAnsi="Times New Roman" w:cs="Times New Roman"/>
          <w:sz w:val="24"/>
          <w:lang w:val="en-US" w:eastAsia="zh-CN"/>
        </w:rPr>
        <w:t>并将该议案</w:t>
      </w:r>
      <w:r>
        <w:rPr>
          <w:rFonts w:hint="default" w:ascii="Times New Roman" w:hAnsi="Times New Roman" w:cs="Times New Roman"/>
          <w:sz w:val="24"/>
        </w:rPr>
        <w:t>提交公司股东大会审议。</w:t>
      </w:r>
    </w:p>
    <w:p>
      <w:pPr>
        <w:spacing w:line="360" w:lineRule="auto"/>
        <w:ind w:firstLine="480"/>
        <w:rPr>
          <w:rFonts w:hint="default" w:ascii="Times New Roman" w:hAnsi="Times New Roman" w:eastAsia="Times New Roman" w:cs="Times New Roman"/>
          <w:b/>
          <w:bCs/>
          <w:sz w:val="24"/>
        </w:rPr>
      </w:pPr>
      <w:r>
        <w:rPr>
          <w:rFonts w:hint="default" w:ascii="Times New Roman" w:hAnsi="Times New Roman" w:eastAsia="宋体" w:cs="Times New Roman"/>
          <w:b/>
          <w:bCs/>
          <w:sz w:val="24"/>
          <w:lang w:val="en-US" w:eastAsia="zh-CN"/>
        </w:rPr>
        <w:t>五</w:t>
      </w:r>
      <w:r>
        <w:rPr>
          <w:rFonts w:hint="default" w:ascii="Times New Roman" w:hAnsi="Times New Roman" w:cs="Times New Roman"/>
          <w:b/>
          <w:bCs/>
          <w:sz w:val="24"/>
        </w:rPr>
        <w:t>、监事会审核意见</w:t>
      </w:r>
      <w:r>
        <w:rPr>
          <w:rFonts w:hint="default" w:ascii="Times New Roman" w:hAnsi="Times New Roman" w:eastAsia="Times New Roman" w:cs="Times New Roman"/>
          <w:b/>
          <w:bCs/>
          <w:sz w:val="24"/>
        </w:rPr>
        <w:t xml:space="preserve"> </w:t>
      </w:r>
    </w:p>
    <w:p>
      <w:pPr>
        <w:spacing w:line="360" w:lineRule="auto"/>
        <w:ind w:firstLine="480"/>
        <w:rPr>
          <w:rFonts w:hint="default" w:ascii="Times New Roman" w:hAnsi="Times New Roman" w:cs="Times New Roman"/>
          <w:sz w:val="24"/>
        </w:rPr>
      </w:pPr>
      <w:r>
        <w:rPr>
          <w:rFonts w:hint="default" w:ascii="Times New Roman" w:hAnsi="Times New Roman" w:cs="Times New Roman"/>
          <w:sz w:val="24"/>
        </w:rPr>
        <w:t>监事会认为：公司本次计提资产减值准备的决议程序合法，依据充分；计提符合企业会计准则等相关规定，符合公司实际情况，计提后更能公允反映公司资产状况，公司董事会就该项议案的决策程序符合相关法律法规的有关规定，同意本次计提资产减值准备。</w:t>
      </w:r>
    </w:p>
    <w:p>
      <w:pPr>
        <w:spacing w:line="360" w:lineRule="auto"/>
        <w:ind w:firstLine="480"/>
        <w:rPr>
          <w:rFonts w:hint="default" w:ascii="Times New Roman" w:hAnsi="Times New Roman" w:eastAsia="Times New Roman" w:cs="Times New Roman"/>
          <w:b/>
          <w:bCs/>
          <w:sz w:val="24"/>
        </w:rPr>
      </w:pPr>
      <w:r>
        <w:rPr>
          <w:rFonts w:hint="default" w:ascii="Times New Roman" w:hAnsi="Times New Roman" w:cs="Times New Roman"/>
          <w:b/>
          <w:bCs/>
          <w:sz w:val="24"/>
          <w:lang w:val="en-US" w:eastAsia="zh-CN"/>
        </w:rPr>
        <w:t>六</w:t>
      </w:r>
      <w:r>
        <w:rPr>
          <w:rFonts w:hint="default" w:ascii="Times New Roman" w:hAnsi="Times New Roman" w:cs="Times New Roman"/>
          <w:b/>
          <w:bCs/>
          <w:sz w:val="24"/>
        </w:rPr>
        <w:t>、备查文件</w:t>
      </w:r>
    </w:p>
    <w:p>
      <w:pPr>
        <w:spacing w:line="360" w:lineRule="auto"/>
        <w:ind w:firstLine="480"/>
        <w:rPr>
          <w:rFonts w:hint="default" w:ascii="Times New Roman" w:hAnsi="Times New Roman" w:eastAsia="Times New Roman" w:cs="Times New Roman"/>
          <w:sz w:val="24"/>
        </w:rPr>
      </w:pPr>
      <w:r>
        <w:rPr>
          <w:rFonts w:hint="default" w:ascii="Times New Roman" w:hAnsi="Times New Roman" w:eastAsia="Times New Roman" w:cs="Times New Roman"/>
          <w:sz w:val="24"/>
        </w:rPr>
        <w:t>1</w:t>
      </w:r>
      <w:r>
        <w:rPr>
          <w:rFonts w:hint="default" w:ascii="Times New Roman" w:hAnsi="Times New Roman" w:cs="Times New Roman"/>
          <w:sz w:val="24"/>
        </w:rPr>
        <w:t>、公司第</w:t>
      </w:r>
      <w:r>
        <w:rPr>
          <w:rFonts w:hint="eastAsia" w:cs="Times New Roman"/>
          <w:sz w:val="24"/>
          <w:lang w:val="en-US" w:eastAsia="zh-CN"/>
        </w:rPr>
        <w:t>七</w:t>
      </w:r>
      <w:r>
        <w:rPr>
          <w:rFonts w:hint="default" w:ascii="Times New Roman" w:hAnsi="Times New Roman" w:cs="Times New Roman"/>
          <w:sz w:val="24"/>
        </w:rPr>
        <w:t>届董事会第</w:t>
      </w:r>
      <w:r>
        <w:rPr>
          <w:rFonts w:hint="default" w:ascii="Times New Roman" w:hAnsi="Times New Roman" w:cs="Times New Roman"/>
          <w:sz w:val="24"/>
          <w:lang w:eastAsia="zh-CN"/>
        </w:rPr>
        <w:t>二</w:t>
      </w:r>
      <w:r>
        <w:rPr>
          <w:rFonts w:hint="default" w:ascii="Times New Roman" w:hAnsi="Times New Roman" w:cs="Times New Roman"/>
          <w:sz w:val="24"/>
        </w:rPr>
        <w:t>次会议决议；</w:t>
      </w:r>
    </w:p>
    <w:p>
      <w:pPr>
        <w:spacing w:line="360" w:lineRule="auto"/>
        <w:ind w:firstLine="480"/>
        <w:rPr>
          <w:rFonts w:hint="default" w:ascii="Times New Roman" w:hAnsi="Times New Roman" w:cs="Times New Roman"/>
          <w:sz w:val="24"/>
        </w:rPr>
      </w:pPr>
      <w:r>
        <w:rPr>
          <w:rFonts w:hint="default" w:ascii="Times New Roman" w:hAnsi="Times New Roman" w:eastAsia="Times New Roman" w:cs="Times New Roman"/>
          <w:sz w:val="24"/>
        </w:rPr>
        <w:t>2</w:t>
      </w:r>
      <w:r>
        <w:rPr>
          <w:rFonts w:hint="default" w:ascii="Times New Roman" w:hAnsi="Times New Roman" w:cs="Times New Roman"/>
          <w:sz w:val="24"/>
        </w:rPr>
        <w:t>、公司第</w:t>
      </w:r>
      <w:r>
        <w:rPr>
          <w:rFonts w:hint="eastAsia" w:cs="Times New Roman"/>
          <w:sz w:val="24"/>
          <w:lang w:val="en-US" w:eastAsia="zh-CN"/>
        </w:rPr>
        <w:t>七</w:t>
      </w:r>
      <w:r>
        <w:rPr>
          <w:rFonts w:hint="default" w:ascii="Times New Roman" w:hAnsi="Times New Roman" w:cs="Times New Roman"/>
          <w:sz w:val="24"/>
        </w:rPr>
        <w:t>届监事会第</w:t>
      </w:r>
      <w:r>
        <w:rPr>
          <w:rFonts w:hint="eastAsia" w:cs="Times New Roman"/>
          <w:sz w:val="24"/>
          <w:lang w:val="en-US" w:eastAsia="zh-CN"/>
        </w:rPr>
        <w:t>二</w:t>
      </w:r>
      <w:r>
        <w:rPr>
          <w:rFonts w:hint="default" w:ascii="Times New Roman" w:hAnsi="Times New Roman" w:cs="Times New Roman"/>
          <w:sz w:val="24"/>
        </w:rPr>
        <w:t>次会议决议；</w:t>
      </w:r>
    </w:p>
    <w:p>
      <w:pPr>
        <w:spacing w:line="360" w:lineRule="auto"/>
        <w:ind w:firstLine="480"/>
        <w:rPr>
          <w:rFonts w:hint="default" w:ascii="Times New Roman" w:hAnsi="Times New Roman" w:cs="Times New Roman"/>
          <w:sz w:val="24"/>
        </w:rPr>
      </w:pPr>
      <w:r>
        <w:rPr>
          <w:rFonts w:hint="default" w:ascii="Times New Roman" w:hAnsi="Times New Roman" w:cs="Times New Roman"/>
          <w:sz w:val="24"/>
          <w:lang w:val="en-US" w:eastAsia="zh-CN"/>
        </w:rPr>
        <w:t>3</w:t>
      </w:r>
      <w:r>
        <w:rPr>
          <w:rFonts w:hint="default" w:ascii="Times New Roman" w:hAnsi="Times New Roman" w:cs="Times New Roman"/>
          <w:sz w:val="24"/>
        </w:rPr>
        <w:t>、独立董事关于公司201</w:t>
      </w:r>
      <w:r>
        <w:rPr>
          <w:rFonts w:hint="eastAsia" w:cs="Times New Roman"/>
          <w:sz w:val="24"/>
          <w:lang w:val="en-US" w:eastAsia="zh-CN"/>
        </w:rPr>
        <w:t>7</w:t>
      </w:r>
      <w:r>
        <w:rPr>
          <w:rFonts w:hint="default" w:ascii="Times New Roman" w:hAnsi="Times New Roman" w:cs="Times New Roman"/>
          <w:sz w:val="24"/>
        </w:rPr>
        <w:t>年度计提资产减值准备的独立意见</w:t>
      </w:r>
      <w:r>
        <w:rPr>
          <w:rFonts w:hint="eastAsia" w:cs="Times New Roman"/>
          <w:sz w:val="24"/>
          <w:lang w:eastAsia="zh-CN"/>
        </w:rPr>
        <w:t>。</w:t>
      </w:r>
    </w:p>
    <w:p>
      <w:pPr>
        <w:autoSpaceDE w:val="0"/>
        <w:autoSpaceDN w:val="0"/>
        <w:adjustRightInd w:val="0"/>
        <w:spacing w:line="360" w:lineRule="auto"/>
        <w:ind w:firstLine="480" w:firstLineChars="200"/>
        <w:jc w:val="left"/>
        <w:rPr>
          <w:rFonts w:hint="default" w:ascii="Times New Roman" w:hAnsi="Times New Roman" w:eastAsia="Times New Roman" w:cs="Times New Roman"/>
          <w:kern w:val="0"/>
          <w:sz w:val="24"/>
        </w:rPr>
      </w:pPr>
    </w:p>
    <w:p>
      <w:pPr>
        <w:autoSpaceDE w:val="0"/>
        <w:autoSpaceDN w:val="0"/>
        <w:adjustRightInd w:val="0"/>
        <w:spacing w:line="360" w:lineRule="auto"/>
        <w:ind w:firstLine="480" w:firstLineChars="200"/>
        <w:jc w:val="left"/>
        <w:rPr>
          <w:rFonts w:hint="default" w:ascii="Times New Roman" w:hAnsi="Times New Roman" w:cs="Times New Roman"/>
          <w:kern w:val="0"/>
          <w:sz w:val="24"/>
        </w:rPr>
      </w:pPr>
      <w:r>
        <w:rPr>
          <w:rFonts w:hint="default" w:ascii="Times New Roman" w:hAnsi="Times New Roman" w:cs="Times New Roman"/>
          <w:kern w:val="0"/>
          <w:sz w:val="24"/>
        </w:rPr>
        <w:t>特此公告。</w:t>
      </w:r>
    </w:p>
    <w:p>
      <w:pPr>
        <w:spacing w:line="360" w:lineRule="auto"/>
        <w:ind w:firstLine="420"/>
        <w:jc w:val="right"/>
        <w:rPr>
          <w:rFonts w:hint="default" w:ascii="Times New Roman" w:hAnsi="Times New Roman" w:cs="Times New Roman"/>
          <w:sz w:val="28"/>
        </w:rPr>
      </w:pPr>
    </w:p>
    <w:p>
      <w:pPr>
        <w:spacing w:line="360" w:lineRule="auto"/>
        <w:ind w:firstLine="420"/>
        <w:jc w:val="right"/>
        <w:rPr>
          <w:rFonts w:hint="default" w:ascii="Times New Roman" w:hAnsi="Times New Roman" w:cs="Times New Roman"/>
          <w:sz w:val="28"/>
        </w:rPr>
      </w:pPr>
    </w:p>
    <w:p>
      <w:pPr>
        <w:spacing w:line="360" w:lineRule="auto"/>
        <w:ind w:firstLine="420"/>
        <w:jc w:val="right"/>
        <w:rPr>
          <w:rFonts w:hint="default" w:ascii="Times New Roman" w:hAnsi="Times New Roman" w:cs="Times New Roman"/>
          <w:sz w:val="28"/>
        </w:rPr>
      </w:pPr>
    </w:p>
    <w:p>
      <w:pPr>
        <w:spacing w:line="360" w:lineRule="auto"/>
        <w:ind w:firstLine="420"/>
        <w:jc w:val="right"/>
        <w:rPr>
          <w:rFonts w:hint="default" w:ascii="Times New Roman" w:hAnsi="Times New Roman" w:cs="Times New Roman"/>
          <w:sz w:val="28"/>
        </w:rPr>
      </w:pPr>
    </w:p>
    <w:p>
      <w:pPr>
        <w:spacing w:line="360" w:lineRule="auto"/>
        <w:ind w:firstLine="420"/>
        <w:jc w:val="right"/>
        <w:rPr>
          <w:rFonts w:hint="default" w:ascii="Times New Roman" w:hAnsi="Times New Roman" w:cs="Times New Roman"/>
          <w:b/>
          <w:sz w:val="28"/>
        </w:rPr>
      </w:pPr>
      <w:r>
        <w:rPr>
          <w:rFonts w:hint="default" w:ascii="Times New Roman" w:hAnsi="Times New Roman" w:cs="Times New Roman"/>
          <w:b/>
          <w:sz w:val="28"/>
        </w:rPr>
        <w:t>安泰科技股份有限公司董事会</w:t>
      </w:r>
    </w:p>
    <w:p>
      <w:pPr>
        <w:wordWrap w:val="0"/>
        <w:spacing w:line="360" w:lineRule="auto"/>
        <w:ind w:right="560" w:firstLine="420"/>
        <w:jc w:val="right"/>
        <w:rPr>
          <w:rFonts w:hint="default" w:ascii="Times New Roman" w:hAnsi="Times New Roman" w:cs="Times New Roman"/>
        </w:rPr>
      </w:pPr>
      <w:r>
        <w:rPr>
          <w:rFonts w:hint="default" w:ascii="Times New Roman" w:hAnsi="Times New Roman" w:cs="Times New Roman"/>
          <w:b/>
          <w:sz w:val="28"/>
        </w:rPr>
        <w:t>201</w:t>
      </w:r>
      <w:r>
        <w:rPr>
          <w:rFonts w:hint="eastAsia" w:cs="Times New Roman"/>
          <w:b/>
          <w:sz w:val="28"/>
          <w:lang w:val="en-US" w:eastAsia="zh-CN"/>
        </w:rPr>
        <w:t>8</w:t>
      </w:r>
      <w:r>
        <w:rPr>
          <w:rFonts w:hint="default" w:ascii="Times New Roman" w:hAnsi="Times New Roman" w:cs="Times New Roman"/>
          <w:b/>
          <w:sz w:val="28"/>
        </w:rPr>
        <w:t>年</w:t>
      </w:r>
      <w:r>
        <w:rPr>
          <w:rFonts w:hint="default" w:ascii="Times New Roman" w:hAnsi="Times New Roman" w:cs="Times New Roman"/>
          <w:b/>
          <w:sz w:val="28"/>
          <w:lang w:val="en-US" w:eastAsia="zh-CN"/>
        </w:rPr>
        <w:t>3</w:t>
      </w:r>
      <w:r>
        <w:rPr>
          <w:rFonts w:hint="default" w:ascii="Times New Roman" w:hAnsi="Times New Roman" w:cs="Times New Roman"/>
          <w:b/>
          <w:sz w:val="28"/>
        </w:rPr>
        <w:t>月</w:t>
      </w:r>
      <w:r>
        <w:rPr>
          <w:rFonts w:hint="default" w:ascii="Times New Roman" w:hAnsi="Times New Roman" w:cs="Times New Roman"/>
          <w:b/>
          <w:sz w:val="28"/>
          <w:lang w:val="en-US" w:eastAsia="zh-CN"/>
        </w:rPr>
        <w:t>31</w:t>
      </w:r>
      <w:r>
        <w:rPr>
          <w:rFonts w:hint="default" w:ascii="Times New Roman" w:hAnsi="Times New Roman" w:cs="Times New Roman"/>
          <w:b/>
          <w:sz w:val="28"/>
        </w:rPr>
        <w:t>日</w:t>
      </w:r>
    </w:p>
    <w:p>
      <w:pPr>
        <w:rPr>
          <w:rFonts w:hint="default" w:ascii="Times New Roman" w:hAnsi="Times New Roman" w:cs="Times New Roman"/>
        </w:rPr>
      </w:pPr>
    </w:p>
    <w:sectPr>
      <w:headerReference r:id="rId3" w:type="default"/>
      <w:footerReference r:id="rId4" w:type="default"/>
      <w:pgSz w:w="11900" w:h="16838"/>
      <w:pgMar w:top="1440" w:right="1800" w:bottom="1440" w:left="180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swiss"/>
    <w:pitch w:val="default"/>
    <w:sig w:usb0="E0002E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Batang">
    <w:altName w:val="Malgun Gothic"/>
    <w:panose1 w:val="02030600000101010101"/>
    <w:charset w:val="81"/>
    <w:family w:val="roman"/>
    <w:pitch w:val="default"/>
    <w:sig w:usb0="00000000" w:usb1="00000000" w:usb2="00000030" w:usb3="00000000" w:csb0="4008009F" w:csb1="DFD70000"/>
  </w:font>
  <w:font w:name="仿宋_GB2312">
    <w:altName w:val="仿宋"/>
    <w:panose1 w:val="02010609030101010101"/>
    <w:charset w:val="86"/>
    <w:family w:val="modern"/>
    <w:pitch w:val="default"/>
    <w:sig w:usb0="00000000" w:usb1="00000000" w:usb2="00000000" w:usb3="00000000" w:csb0="00040000"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sz w:val="18"/>
      </w:rPr>
    </w:pPr>
    <w:r>
      <w:rPr>
        <w:rFonts w:hint="default"/>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CF&#10;ctq9twEAAFQDAAAOAAAAAAAAAAEAIAAAAB4BAABkcnMvZTJvRG9jLnhtbFBLBQYAAAAABgAGAFkB&#10;AABH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BC5879"/>
    <w:multiLevelType w:val="singleLevel"/>
    <w:tmpl w:val="5ABC587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0567B8"/>
    <w:rsid w:val="00AA709B"/>
    <w:rsid w:val="0265787C"/>
    <w:rsid w:val="073A3C88"/>
    <w:rsid w:val="0A161C2C"/>
    <w:rsid w:val="0C9C373F"/>
    <w:rsid w:val="0F84061B"/>
    <w:rsid w:val="0FB41753"/>
    <w:rsid w:val="10673E15"/>
    <w:rsid w:val="14BC2499"/>
    <w:rsid w:val="1A0165A8"/>
    <w:rsid w:val="1F1C3919"/>
    <w:rsid w:val="1F9B794E"/>
    <w:rsid w:val="27062C84"/>
    <w:rsid w:val="28CD0A6E"/>
    <w:rsid w:val="2B65000A"/>
    <w:rsid w:val="2D277FB9"/>
    <w:rsid w:val="406E4841"/>
    <w:rsid w:val="4101386B"/>
    <w:rsid w:val="426425C5"/>
    <w:rsid w:val="47BF18E0"/>
    <w:rsid w:val="47D8619B"/>
    <w:rsid w:val="4BCE0856"/>
    <w:rsid w:val="4EBF69FA"/>
    <w:rsid w:val="51AB2CEA"/>
    <w:rsid w:val="57272458"/>
    <w:rsid w:val="57503CCA"/>
    <w:rsid w:val="58FC694F"/>
    <w:rsid w:val="5AB6701A"/>
    <w:rsid w:val="69C42F6D"/>
    <w:rsid w:val="6AAE7BFA"/>
    <w:rsid w:val="6C4E4351"/>
    <w:rsid w:val="6D0B31AB"/>
    <w:rsid w:val="6EDA396D"/>
    <w:rsid w:val="74300CEB"/>
    <w:rsid w:val="770567B8"/>
    <w:rsid w:val="772F0F43"/>
    <w:rsid w:val="7A4430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Times New Roman" w:hAnsi="Times New Roman" w:eastAsia="宋体" w:cstheme="minorBidi"/>
      <w:kern w:val="2"/>
      <w:sz w:val="21"/>
      <w:szCs w:val="22"/>
      <w:lang w:val="en-US" w:eastAsia="zh-CN"/>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rFonts w:hint="eastAsia"/>
      <w:sz w:val="18"/>
    </w:rPr>
  </w:style>
  <w:style w:type="paragraph" w:styleId="4">
    <w:name w:val="header"/>
    <w:basedOn w:val="1"/>
    <w:qFormat/>
    <w:uiPriority w:val="0"/>
    <w:pPr>
      <w:tabs>
        <w:tab w:val="center" w:pos="4153"/>
        <w:tab w:val="right" w:pos="8306"/>
      </w:tabs>
      <w:snapToGrid w:val="0"/>
    </w:pPr>
    <w:rPr>
      <w:rFonts w:hint="eastAsia"/>
      <w:sz w:val="18"/>
    </w:rPr>
  </w:style>
  <w:style w:type="character" w:styleId="6">
    <w:name w:val="page number"/>
    <w:basedOn w:val="5"/>
    <w:qFormat/>
    <w:uiPriority w:val="0"/>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
    <w:name w:val="p15"/>
    <w:basedOn w:val="1"/>
    <w:qFormat/>
    <w:uiPriority w:val="0"/>
    <w:pPr>
      <w:widowControl/>
    </w:pPr>
    <w:rPr>
      <w:rFonts w:ascii="Times New Roman" w:hAnsi="Times New Roman" w:eastAsia="宋体" w:cs="Times New Roman"/>
      <w:kern w:val="0"/>
      <w:szCs w:val="21"/>
    </w:rPr>
  </w:style>
  <w:style w:type="character" w:customStyle="1" w:styleId="10">
    <w:name w:val="fontstyle01"/>
    <w:basedOn w:val="5"/>
    <w:qFormat/>
    <w:uiPriority w:val="0"/>
    <w:rPr>
      <w:rFonts w:ascii="仿宋_GB2312" w:eastAsia="仿宋_GB2312" w:cs="仿宋_GB2312"/>
      <w:color w:val="000000"/>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2017-03-15T07:46:00Z</dcterms:created>
  <dc:creator>习志鹏</dc:creator>
  <cp:lastModifiedBy>xizhipeng</cp:lastModifiedBy>
  <dcterms:modified xsi:type="dcterms:W3CDTF">2018-03-29T14:19:50Z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